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6B" w:rsidRPr="009D5A6B" w:rsidRDefault="009D5A6B" w:rsidP="009D5A6B">
      <w:pPr>
        <w:spacing w:after="0" w:line="240" w:lineRule="auto"/>
        <w:rPr>
          <w:rFonts w:ascii="Arial Narrow" w:hAnsi="Arial Narrow" w:cs="Akkurat Pro"/>
          <w:b/>
          <w:bCs/>
          <w:color w:val="000000"/>
          <w:sz w:val="24"/>
          <w:szCs w:val="24"/>
        </w:rPr>
      </w:pPr>
    </w:p>
    <w:p w:rsidR="009D5A6B" w:rsidRPr="009D5A6B" w:rsidRDefault="009D5A6B" w:rsidP="009D5A6B">
      <w:pPr>
        <w:spacing w:after="0" w:line="240" w:lineRule="auto"/>
        <w:rPr>
          <w:rFonts w:ascii="Arial Narrow" w:hAnsi="Arial Narrow" w:cs="Akkurat Pro"/>
          <w:b/>
          <w:bCs/>
          <w:color w:val="000000"/>
          <w:sz w:val="24"/>
          <w:szCs w:val="24"/>
        </w:rPr>
      </w:pPr>
    </w:p>
    <w:p w:rsidR="009D5A6B" w:rsidRPr="009D5A6B" w:rsidRDefault="009D5A6B" w:rsidP="009D5A6B">
      <w:pPr>
        <w:spacing w:after="0" w:line="240" w:lineRule="auto"/>
        <w:rPr>
          <w:rFonts w:ascii="Arial Narrow" w:hAnsi="Arial Narrow"/>
          <w:sz w:val="24"/>
          <w:szCs w:val="24"/>
        </w:rPr>
      </w:pPr>
      <w:r w:rsidRPr="009D5A6B">
        <w:rPr>
          <w:rFonts w:ascii="Arial Narrow" w:hAnsi="Arial Narrow" w:cs="Akkurat Pro"/>
          <w:b/>
          <w:bCs/>
          <w:color w:val="000000"/>
          <w:sz w:val="24"/>
          <w:szCs w:val="24"/>
        </w:rPr>
        <w:t xml:space="preserve">Proyecto SUPPORT y la REDEMA    </w:t>
      </w:r>
    </w:p>
    <w:p w:rsidR="009D5A6B" w:rsidRPr="009D5A6B" w:rsidRDefault="009D5A6B" w:rsidP="009D5A6B">
      <w:pPr>
        <w:pStyle w:val="Pa11"/>
        <w:spacing w:line="240" w:lineRule="auto"/>
        <w:jc w:val="both"/>
        <w:rPr>
          <w:rFonts w:ascii="Arial Narrow" w:hAnsi="Arial Narrow" w:cs="Akkurat Pro"/>
          <w:color w:val="000000"/>
        </w:rPr>
      </w:pPr>
    </w:p>
    <w:p w:rsidR="009D5A6B" w:rsidRPr="009D5A6B" w:rsidRDefault="009D5A6B" w:rsidP="009D5A6B">
      <w:pPr>
        <w:pStyle w:val="Pa11"/>
        <w:spacing w:line="240" w:lineRule="auto"/>
        <w:jc w:val="both"/>
        <w:rPr>
          <w:rFonts w:ascii="Arial Narrow" w:hAnsi="Arial Narrow" w:cs="Akkurat Pro"/>
          <w:color w:val="000000"/>
        </w:rPr>
      </w:pPr>
      <w:r w:rsidRPr="009D5A6B">
        <w:rPr>
          <w:rFonts w:ascii="Arial Narrow" w:hAnsi="Arial Narrow" w:cs="Akkurat Pro"/>
          <w:color w:val="000000"/>
        </w:rPr>
        <w:t xml:space="preserve">El proyecto SUPPORT aborda las dificultades encontradas por muchos municipios de las regiones asociadas en la implementación de políticas de energía sostenible, entre las cuales se encuentra Andalucía. La estrategia de la UE sobre el clima y la energía está dirigida a apoyar a las autoridades locales y regionales en la aplicación de políticas de energía sostenible. </w:t>
      </w:r>
    </w:p>
    <w:p w:rsidR="009D5A6B" w:rsidRPr="009D5A6B" w:rsidRDefault="009D5A6B" w:rsidP="009D5A6B">
      <w:pPr>
        <w:pStyle w:val="Pa11"/>
        <w:spacing w:line="240" w:lineRule="auto"/>
        <w:jc w:val="both"/>
        <w:rPr>
          <w:rFonts w:ascii="Arial Narrow" w:hAnsi="Arial Narrow" w:cs="Akkurat Pro"/>
          <w:color w:val="000000"/>
        </w:rPr>
      </w:pPr>
    </w:p>
    <w:p w:rsidR="009D5A6B" w:rsidRPr="009D5A6B" w:rsidRDefault="009D5A6B" w:rsidP="009D5A6B">
      <w:pPr>
        <w:pStyle w:val="Pa11"/>
        <w:spacing w:line="240" w:lineRule="auto"/>
        <w:jc w:val="both"/>
        <w:rPr>
          <w:rFonts w:ascii="Arial Narrow" w:hAnsi="Arial Narrow" w:cs="Akkurat Pro"/>
          <w:color w:val="000000"/>
        </w:rPr>
      </w:pPr>
      <w:r w:rsidRPr="009D5A6B">
        <w:rPr>
          <w:rFonts w:ascii="Arial Narrow" w:hAnsi="Arial Narrow" w:cs="Akkurat Pro"/>
          <w:color w:val="000000"/>
        </w:rPr>
        <w:t xml:space="preserve">Parte de la identificación de </w:t>
      </w:r>
      <w:r w:rsidR="00547179">
        <w:rPr>
          <w:rFonts w:ascii="Arial Narrow" w:hAnsi="Arial Narrow" w:cs="Akkurat Pro"/>
          <w:color w:val="000000"/>
        </w:rPr>
        <w:t xml:space="preserve">los </w:t>
      </w:r>
      <w:r w:rsidRPr="009D5A6B">
        <w:rPr>
          <w:rFonts w:ascii="Arial Narrow" w:hAnsi="Arial Narrow" w:cs="Akkurat Pro"/>
          <w:color w:val="000000"/>
        </w:rPr>
        <w:t>principales obstáculos para el avance en la implementación de las acciones incluidas en los PAES</w:t>
      </w:r>
      <w:r w:rsidR="00547179">
        <w:rPr>
          <w:rFonts w:ascii="Arial Narrow" w:hAnsi="Arial Narrow" w:cs="Akkurat Pro"/>
          <w:color w:val="000000"/>
        </w:rPr>
        <w:t>: l</w:t>
      </w:r>
      <w:r w:rsidRPr="009D5A6B">
        <w:rPr>
          <w:rFonts w:ascii="Arial Narrow" w:hAnsi="Arial Narrow" w:cs="Akkurat Pro"/>
          <w:color w:val="000000"/>
        </w:rPr>
        <w:t xml:space="preserve">a falta de financiación adecuada y mano de obra especializada; </w:t>
      </w:r>
      <w:r w:rsidR="00547179">
        <w:rPr>
          <w:rFonts w:ascii="Arial Narrow" w:hAnsi="Arial Narrow" w:cs="Akkurat Pro"/>
          <w:color w:val="000000"/>
        </w:rPr>
        <w:t>barreras</w:t>
      </w:r>
      <w:r w:rsidRPr="009D5A6B">
        <w:rPr>
          <w:rFonts w:ascii="Arial Narrow" w:hAnsi="Arial Narrow" w:cs="Akkurat Pro"/>
          <w:color w:val="000000"/>
        </w:rPr>
        <w:t xml:space="preserve"> para el funcionamiento de las estrategias financieras; baja implicación del sector privado; escasa integración de políticas energéticas en el marco regulatorio y de programación; escasez en la información que limita una correcta planificación y datos sin posibilidad de ser accesibles ni abiertos al público, entre otros. </w:t>
      </w:r>
    </w:p>
    <w:p w:rsidR="009D5A6B" w:rsidRPr="009D5A6B" w:rsidRDefault="009D5A6B" w:rsidP="009D5A6B">
      <w:pPr>
        <w:pStyle w:val="Pa11"/>
        <w:spacing w:line="240" w:lineRule="auto"/>
        <w:jc w:val="both"/>
        <w:rPr>
          <w:rFonts w:ascii="Arial Narrow" w:hAnsi="Arial Narrow" w:cs="Akkurat Pro"/>
          <w:color w:val="000000"/>
        </w:rPr>
      </w:pPr>
    </w:p>
    <w:p w:rsidR="009D5A6B" w:rsidRPr="009D5A6B" w:rsidRDefault="009D5A6B" w:rsidP="009D5A6B">
      <w:pPr>
        <w:pStyle w:val="Pa11"/>
        <w:spacing w:line="240" w:lineRule="auto"/>
        <w:jc w:val="both"/>
        <w:rPr>
          <w:rFonts w:ascii="Arial Narrow" w:hAnsi="Arial Narrow" w:cs="Akkurat Pro"/>
          <w:color w:val="000000"/>
        </w:rPr>
      </w:pPr>
      <w:r w:rsidRPr="009D5A6B">
        <w:rPr>
          <w:rFonts w:ascii="Arial Narrow" w:hAnsi="Arial Narrow" w:cs="Akkurat Pro"/>
          <w:color w:val="000000"/>
        </w:rPr>
        <w:t xml:space="preserve">La Federación Andaluza de Municipios y Provincias (FAMP), presentó el lanzamiento de la red REDEMA (Red de Energía de los Municipios Andaluces) con el objetivo de crear un encuentro para la acción local, desde el que fomentar políticas locales energéticas dirigidas al ahorro, al uso de energías renovables y el autoconsumo de energía; mejorando la capacidad y la toma de decisiones de las autoridades locales en materia de energía, fomentando la cooperación de cara a alcanzar los objetivos incluidos en sus PAES, aumentando sus conocimientos y herramientas de análisis y planificación, a través de la recogida, gestión y sistematización de datos energéticos. </w:t>
      </w:r>
    </w:p>
    <w:p w:rsidR="009D5A6B" w:rsidRPr="009D5A6B" w:rsidRDefault="009D5A6B" w:rsidP="009D5A6B">
      <w:pPr>
        <w:spacing w:after="0" w:line="240" w:lineRule="auto"/>
        <w:rPr>
          <w:sz w:val="24"/>
          <w:szCs w:val="24"/>
        </w:rPr>
      </w:pPr>
    </w:p>
    <w:p w:rsidR="009D5A6B" w:rsidRPr="009D5A6B" w:rsidRDefault="009D5A6B" w:rsidP="009D5A6B">
      <w:pPr>
        <w:spacing w:after="0" w:line="240" w:lineRule="auto"/>
        <w:rPr>
          <w:sz w:val="24"/>
          <w:szCs w:val="24"/>
        </w:rPr>
      </w:pPr>
    </w:p>
    <w:p w:rsidR="009D5A6B" w:rsidRPr="009D5A6B" w:rsidRDefault="009D5A6B" w:rsidP="009D5A6B">
      <w:pPr>
        <w:pStyle w:val="Pa11"/>
        <w:spacing w:line="240" w:lineRule="auto"/>
        <w:jc w:val="both"/>
        <w:rPr>
          <w:rStyle w:val="A3"/>
          <w:rFonts w:ascii="Arial Narrow" w:hAnsi="Arial Narrow"/>
        </w:rPr>
      </w:pPr>
      <w:r w:rsidRPr="009D5A6B">
        <w:rPr>
          <w:rStyle w:val="A3"/>
          <w:rFonts w:ascii="Arial Narrow" w:hAnsi="Arial Narrow"/>
        </w:rPr>
        <w:t xml:space="preserve">Plan de Acción SUPPORT y Acción Piloto </w:t>
      </w:r>
    </w:p>
    <w:p w:rsidR="009D5A6B" w:rsidRPr="009D5A6B" w:rsidRDefault="009D5A6B" w:rsidP="009D5A6B">
      <w:pPr>
        <w:spacing w:after="0" w:line="240" w:lineRule="auto"/>
        <w:rPr>
          <w:sz w:val="24"/>
          <w:szCs w:val="24"/>
        </w:rPr>
      </w:pPr>
    </w:p>
    <w:p w:rsidR="009D5A6B" w:rsidRPr="009D5A6B" w:rsidRDefault="009D5A6B" w:rsidP="009D5A6B">
      <w:pPr>
        <w:pStyle w:val="Pa11"/>
        <w:spacing w:line="240" w:lineRule="auto"/>
        <w:jc w:val="both"/>
        <w:rPr>
          <w:rFonts w:ascii="Arial Narrow" w:hAnsi="Arial Narrow" w:cs="Akkurat Pro"/>
          <w:color w:val="000000"/>
        </w:rPr>
      </w:pPr>
      <w:r w:rsidRPr="009D5A6B">
        <w:rPr>
          <w:rFonts w:ascii="Arial Narrow" w:hAnsi="Arial Narrow" w:cs="Akkurat Pro"/>
          <w:color w:val="000000"/>
        </w:rPr>
        <w:t xml:space="preserve">En ese marco, la Federación Andaluza de Municipios y Provincias (FAMP) desarrolló el Plan de Acción SUPPORT, dentro de la segunda fase del proyecto, a través de las principales conclusiones obtenidas en los diversos seminarios regionales e interregionales. El principal objetivo del Plan de Acción SUPPORT se volcó a influenciar la implementación actual de la Estrategia Energética de Andalucía 2020, cuya autoridad de gestión es la Agencia Andaluza de la Energía, al tratarse del principal documento estratégico con una vinculación directa en el desarrollo del Programa Operativo Regional de Andalucía (POR FEDER Andalucía 2014-2020). </w:t>
      </w:r>
    </w:p>
    <w:p w:rsidR="009D5A6B" w:rsidRPr="009D5A6B" w:rsidRDefault="009D5A6B" w:rsidP="009D5A6B">
      <w:pPr>
        <w:pStyle w:val="Pa11"/>
        <w:spacing w:line="240" w:lineRule="auto"/>
        <w:jc w:val="both"/>
        <w:rPr>
          <w:rFonts w:ascii="Arial Narrow" w:hAnsi="Arial Narrow" w:cs="Akkurat Pro"/>
          <w:color w:val="000000"/>
        </w:rPr>
      </w:pPr>
    </w:p>
    <w:p w:rsidR="009D5A6B" w:rsidRPr="009D5A6B" w:rsidRDefault="009D5A6B" w:rsidP="009D5A6B">
      <w:pPr>
        <w:pStyle w:val="Pa11"/>
        <w:spacing w:line="240" w:lineRule="auto"/>
        <w:jc w:val="both"/>
        <w:rPr>
          <w:rFonts w:ascii="Arial Narrow" w:hAnsi="Arial Narrow" w:cs="Akkurat Pro"/>
          <w:color w:val="000000"/>
        </w:rPr>
      </w:pPr>
      <w:r w:rsidRPr="009D5A6B">
        <w:rPr>
          <w:rFonts w:ascii="Arial Narrow" w:hAnsi="Arial Narrow" w:cs="Akkurat Pro"/>
          <w:color w:val="000000"/>
        </w:rPr>
        <w:t xml:space="preserve">En el marco de REDEMA, y en base al trabajo desarrollado durante el intercambio de experiencias a nivel regional e interregional, FAMP ha destacado un tema poco abordado: la falta de datos energéticos locales sólidos que sirvan de referencia para desarrollar los procesos de planificación de estrategias de economía baja en carbono y planes energéticos a nivel municipal. De esta manera, ha decidido reforzar REDEMA - Red de Energía de los Municipios de Andalucía, con la creación y desarrollo de un </w:t>
      </w:r>
      <w:r w:rsidRPr="009D5A6B">
        <w:rPr>
          <w:rFonts w:ascii="Arial Narrow" w:hAnsi="Arial Narrow" w:cs="Akkurat Pro"/>
          <w:b/>
          <w:color w:val="000000"/>
        </w:rPr>
        <w:t>Observatorio Regional de la Energía REDEMA</w:t>
      </w:r>
      <w:r w:rsidRPr="009D5A6B">
        <w:rPr>
          <w:rFonts w:ascii="Arial Narrow" w:hAnsi="Arial Narrow" w:cs="Akkurat Pro"/>
          <w:color w:val="000000"/>
        </w:rPr>
        <w:t xml:space="preserve"> a partir de las lecciones aprendidas durante la fase 1º de SUPPORT. </w:t>
      </w:r>
    </w:p>
    <w:p w:rsidR="009D5A6B" w:rsidRPr="009D5A6B" w:rsidRDefault="009D5A6B" w:rsidP="009D5A6B">
      <w:pPr>
        <w:spacing w:after="0" w:line="240" w:lineRule="auto"/>
        <w:rPr>
          <w:rFonts w:ascii="Arial Narrow" w:hAnsi="Arial Narrow" w:cs="Akkurat Pro"/>
          <w:color w:val="000000"/>
          <w:sz w:val="24"/>
          <w:szCs w:val="24"/>
        </w:rPr>
      </w:pPr>
    </w:p>
    <w:p w:rsidR="009D5A6B" w:rsidRDefault="009D5A6B" w:rsidP="009D5A6B">
      <w:pPr>
        <w:spacing w:after="0" w:line="240" w:lineRule="auto"/>
        <w:rPr>
          <w:rFonts w:ascii="Arial Narrow" w:hAnsi="Arial Narrow" w:cs="Akkurat Pro"/>
          <w:color w:val="000000"/>
          <w:sz w:val="24"/>
          <w:szCs w:val="24"/>
        </w:rPr>
      </w:pPr>
    </w:p>
    <w:p w:rsidR="009D5A6B" w:rsidRDefault="009D5A6B" w:rsidP="009D5A6B">
      <w:pPr>
        <w:spacing w:after="0" w:line="240" w:lineRule="auto"/>
        <w:rPr>
          <w:rFonts w:ascii="Arial Narrow" w:hAnsi="Arial Narrow" w:cs="Akkurat Pro"/>
          <w:color w:val="000000"/>
          <w:sz w:val="24"/>
          <w:szCs w:val="24"/>
        </w:rPr>
      </w:pPr>
    </w:p>
    <w:p w:rsidR="009D5A6B" w:rsidRPr="009D5A6B" w:rsidRDefault="009D5A6B" w:rsidP="009D5A6B">
      <w:pPr>
        <w:spacing w:after="0" w:line="240" w:lineRule="auto"/>
        <w:rPr>
          <w:rFonts w:ascii="Arial Narrow" w:hAnsi="Arial Narrow" w:cs="Akkurat Pro"/>
          <w:color w:val="000000"/>
          <w:sz w:val="24"/>
          <w:szCs w:val="24"/>
        </w:rPr>
      </w:pPr>
      <w:r w:rsidRPr="009D5A6B">
        <w:rPr>
          <w:rFonts w:ascii="Arial Narrow" w:hAnsi="Arial Narrow" w:cs="Akkurat Pro"/>
          <w:color w:val="000000"/>
          <w:sz w:val="24"/>
          <w:szCs w:val="24"/>
        </w:rPr>
        <w:t>El principal objetivo de la Acción Piloto fue facilitar las iniciativas locales regionales de economía baja en carbono en Andalucía y promover el intercambio de información entre las autoridades locales andaluzas, a través de la recogida, gestión y sistematización de datos energéticos. Esta acción piloto ha buscado hacer más eficientes las Estrategias de Baja Emisión de Carbono y los planes energéticos de los entes locales contribuyendo, por tanto, a la consecución de los objetivos de la Estrategia Energética de Andalucía 2020, a través del proceso de comparación de los parámetros energéticos con los datos globales de los edificios públicos andaluces dentro de la plataforma y el desarrollo de directrices de benchmarking energético por tipología de edificios (sanitarios, educativos, deportivos, administrativos, otros), en función de sus características.</w:t>
      </w:r>
    </w:p>
    <w:p w:rsidR="009D5A6B" w:rsidRDefault="009D5A6B" w:rsidP="009D5A6B">
      <w:pPr>
        <w:pStyle w:val="Pa12"/>
        <w:spacing w:line="240" w:lineRule="auto"/>
        <w:jc w:val="both"/>
        <w:rPr>
          <w:rFonts w:ascii="Arial Narrow" w:hAnsi="Arial Narrow" w:cs="Akkurat Pro"/>
          <w:b/>
          <w:bCs/>
          <w:color w:val="000000"/>
        </w:rPr>
      </w:pPr>
    </w:p>
    <w:p w:rsidR="009D5A6B" w:rsidRPr="009D5A6B" w:rsidRDefault="009D5A6B" w:rsidP="009D5A6B"/>
    <w:p w:rsidR="009D5A6B" w:rsidRPr="009D5A6B" w:rsidRDefault="009D5A6B" w:rsidP="009D5A6B">
      <w:pPr>
        <w:pStyle w:val="Pa12"/>
        <w:spacing w:line="240" w:lineRule="auto"/>
        <w:jc w:val="both"/>
        <w:rPr>
          <w:rFonts w:ascii="Arial Narrow" w:hAnsi="Arial Narrow" w:cs="Akkurat Pro"/>
          <w:b/>
          <w:bCs/>
          <w:color w:val="000000"/>
        </w:rPr>
      </w:pPr>
      <w:r w:rsidRPr="009D5A6B">
        <w:rPr>
          <w:rFonts w:ascii="Arial Narrow" w:hAnsi="Arial Narrow" w:cs="Akkurat Pro"/>
          <w:b/>
          <w:bCs/>
          <w:color w:val="000000"/>
        </w:rPr>
        <w:t>Objetivos Observatorio Regional de la Energía REDEMA</w:t>
      </w:r>
    </w:p>
    <w:p w:rsidR="009D5A6B" w:rsidRDefault="009D5A6B" w:rsidP="009D5A6B">
      <w:pPr>
        <w:pStyle w:val="Pa12"/>
        <w:spacing w:line="240" w:lineRule="auto"/>
        <w:jc w:val="both"/>
        <w:rPr>
          <w:rFonts w:ascii="Arial Narrow" w:hAnsi="Arial Narrow" w:cs="Akkurat Pro"/>
          <w:color w:val="000000"/>
        </w:rPr>
      </w:pPr>
    </w:p>
    <w:p w:rsidR="009D5A6B" w:rsidRPr="009D5A6B" w:rsidRDefault="009D5A6B" w:rsidP="009D5A6B">
      <w:pPr>
        <w:pStyle w:val="Pa12"/>
        <w:spacing w:line="240" w:lineRule="auto"/>
        <w:jc w:val="both"/>
        <w:rPr>
          <w:rFonts w:ascii="Arial Narrow" w:hAnsi="Arial Narrow" w:cs="Akkurat Pro"/>
          <w:color w:val="000000"/>
        </w:rPr>
      </w:pPr>
      <w:r w:rsidRPr="009D5A6B">
        <w:rPr>
          <w:rFonts w:ascii="Arial Narrow" w:hAnsi="Arial Narrow" w:cs="Akkurat Pro"/>
          <w:color w:val="000000"/>
        </w:rPr>
        <w:t xml:space="preserve">1. Mejorar la recogida y el tratamiento de datos sobre energía a nivel local. </w:t>
      </w:r>
    </w:p>
    <w:p w:rsidR="009D5A6B" w:rsidRPr="009D5A6B" w:rsidRDefault="009D5A6B" w:rsidP="009D5A6B">
      <w:pPr>
        <w:spacing w:after="0" w:line="240" w:lineRule="auto"/>
        <w:rPr>
          <w:rFonts w:ascii="Arial Narrow" w:hAnsi="Arial Narrow" w:cs="Akkurat Pro"/>
          <w:color w:val="000000"/>
          <w:sz w:val="24"/>
          <w:szCs w:val="24"/>
        </w:rPr>
      </w:pPr>
      <w:r w:rsidRPr="009D5A6B">
        <w:rPr>
          <w:rFonts w:ascii="Arial Narrow" w:hAnsi="Arial Narrow" w:cs="Akkurat Pro"/>
          <w:color w:val="000000"/>
          <w:sz w:val="24"/>
          <w:szCs w:val="24"/>
        </w:rPr>
        <w:t xml:space="preserve">Una de las razones por las que no se llevan a cabo las acciones incluidas en los instrumentos de planificación (PAES) es la falta de convicción sobre los posibles beneficios potenciales. Para una planificación sólida y para que las mejoras basadas en inversiones y acciones específicas sean evidentes, es necesario disponer de datos energéticos suficientes y accesibles. A través del desarrollo de una herramienta, inspirada en las herramientas utilizadas en ANERGO y EMIS (Buenas Prácticas del </w:t>
      </w:r>
      <w:proofErr w:type="spellStart"/>
      <w:r w:rsidRPr="009D5A6B">
        <w:rPr>
          <w:rFonts w:ascii="Arial Narrow" w:hAnsi="Arial Narrow" w:cs="Akkurat Pro"/>
          <w:color w:val="000000"/>
          <w:sz w:val="24"/>
          <w:szCs w:val="24"/>
        </w:rPr>
        <w:t>Partenariado</w:t>
      </w:r>
      <w:proofErr w:type="spellEnd"/>
      <w:r w:rsidRPr="009D5A6B">
        <w:rPr>
          <w:rFonts w:ascii="Arial Narrow" w:hAnsi="Arial Narrow" w:cs="Akkurat Pro"/>
          <w:color w:val="000000"/>
          <w:sz w:val="24"/>
          <w:szCs w:val="24"/>
        </w:rPr>
        <w:t xml:space="preserve"> de SUPPORT), se buscó simplificar el proceso de gestión sostenible de la energía en los edificios públicos locales, permitiendo un fácil acceso a los datos sobre el consumo de energía y agua, así como una rápida visualización e impresión gráfica y tabular.</w:t>
      </w:r>
    </w:p>
    <w:p w:rsidR="009D5A6B" w:rsidRPr="009D5A6B" w:rsidRDefault="009D5A6B" w:rsidP="009D5A6B">
      <w:pPr>
        <w:pStyle w:val="Pa13"/>
        <w:spacing w:line="240" w:lineRule="auto"/>
        <w:jc w:val="both"/>
        <w:rPr>
          <w:rFonts w:ascii="Arial Narrow" w:hAnsi="Arial Narrow" w:cs="Akkurat Pro"/>
          <w:color w:val="000000"/>
        </w:rPr>
      </w:pPr>
    </w:p>
    <w:p w:rsidR="009D5A6B" w:rsidRPr="009D5A6B" w:rsidRDefault="009D5A6B" w:rsidP="009D5A6B">
      <w:pPr>
        <w:pStyle w:val="Pa13"/>
        <w:spacing w:line="240" w:lineRule="auto"/>
        <w:jc w:val="both"/>
        <w:rPr>
          <w:rFonts w:ascii="Arial Narrow" w:hAnsi="Arial Narrow" w:cs="Akkurat Pro"/>
          <w:color w:val="000000"/>
        </w:rPr>
      </w:pPr>
      <w:r w:rsidRPr="009D5A6B">
        <w:rPr>
          <w:rFonts w:ascii="Arial Narrow" w:hAnsi="Arial Narrow" w:cs="Akkurat Pro"/>
          <w:color w:val="000000"/>
        </w:rPr>
        <w:t xml:space="preserve">2. Incrementar las capacidades del personal técnico municipal como gestores energéticos para que puedan cargar los datos energéticos de los edificios públicos locales, utilizando la herramienta o plataforma web desarrollada a través del Observatorio Regional, y tener la capacidad de utilizar las funciones de análisis y evaluación de datos de la plataforma mediante benchmarking. </w:t>
      </w:r>
    </w:p>
    <w:p w:rsidR="009D5A6B" w:rsidRPr="009D5A6B" w:rsidRDefault="009D5A6B" w:rsidP="009D5A6B">
      <w:pPr>
        <w:spacing w:after="0" w:line="240" w:lineRule="auto"/>
        <w:rPr>
          <w:rFonts w:ascii="Arial Narrow" w:hAnsi="Arial Narrow" w:cs="Akkurat Pro"/>
          <w:color w:val="000000"/>
          <w:sz w:val="24"/>
          <w:szCs w:val="24"/>
        </w:rPr>
      </w:pPr>
    </w:p>
    <w:p w:rsidR="009D5A6B" w:rsidRPr="009D5A6B" w:rsidRDefault="009D5A6B" w:rsidP="009D5A6B">
      <w:pPr>
        <w:spacing w:after="0" w:line="240" w:lineRule="auto"/>
        <w:rPr>
          <w:rFonts w:ascii="Arial Narrow" w:hAnsi="Arial Narrow" w:cs="Akkurat Pro"/>
          <w:color w:val="000000"/>
          <w:sz w:val="24"/>
          <w:szCs w:val="24"/>
        </w:rPr>
      </w:pPr>
      <w:r w:rsidRPr="009D5A6B">
        <w:rPr>
          <w:rFonts w:ascii="Arial Narrow" w:hAnsi="Arial Narrow" w:cs="Akkurat Pro"/>
          <w:color w:val="000000"/>
          <w:sz w:val="24"/>
          <w:szCs w:val="24"/>
        </w:rPr>
        <w:t>3. Difundir los resultados mediante la demostración de una amplia gama de oportunidades, recopiladas en el desarrollo de directrices agregadas de evaluación comparativa de la energía por tipología de edificios.</w:t>
      </w:r>
    </w:p>
    <w:p w:rsidR="009D5A6B" w:rsidRPr="009D5A6B" w:rsidRDefault="009D5A6B" w:rsidP="009D5A6B">
      <w:pPr>
        <w:spacing w:after="0" w:line="240" w:lineRule="auto"/>
        <w:rPr>
          <w:rFonts w:ascii="Arial Narrow" w:hAnsi="Arial Narrow" w:cs="Akkurat Pro"/>
          <w:color w:val="000000"/>
          <w:sz w:val="24"/>
          <w:szCs w:val="24"/>
        </w:rPr>
      </w:pPr>
    </w:p>
    <w:p w:rsidR="009D5A6B" w:rsidRPr="009D5A6B" w:rsidRDefault="009D5A6B" w:rsidP="009D5A6B">
      <w:pPr>
        <w:spacing w:after="0" w:line="240" w:lineRule="auto"/>
        <w:rPr>
          <w:rFonts w:ascii="Arial Narrow" w:hAnsi="Arial Narrow"/>
          <w:sz w:val="24"/>
          <w:szCs w:val="24"/>
        </w:rPr>
      </w:pPr>
    </w:p>
    <w:p w:rsidR="00796A30" w:rsidRPr="009D5A6B" w:rsidRDefault="00796A30" w:rsidP="009D5A6B">
      <w:pPr>
        <w:spacing w:after="0" w:line="240" w:lineRule="auto"/>
        <w:rPr>
          <w:sz w:val="24"/>
          <w:szCs w:val="24"/>
        </w:rPr>
      </w:pPr>
    </w:p>
    <w:sectPr w:rsidR="00796A30" w:rsidRPr="009D5A6B" w:rsidSect="009D5A6B">
      <w:headerReference w:type="default" r:id="rId7"/>
      <w:footerReference w:type="default" r:id="rId8"/>
      <w:pgSz w:w="11906" w:h="16838"/>
      <w:pgMar w:top="2268" w:right="1701" w:bottom="1985"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E20FF" w16cex:dateUtc="2020-05-19T07:10:00Z"/>
  <w16cex:commentExtensible w16cex:durableId="226E215C" w16cex:dateUtc="2020-05-19T07:11:00Z"/>
  <w16cex:commentExtensible w16cex:durableId="226E21C7" w16cex:dateUtc="2020-05-19T0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EA9CEE" w16cid:durableId="226E20FF"/>
  <w16cid:commentId w16cid:paraId="5AB6443C" w16cid:durableId="226E215C"/>
  <w16cid:commentId w16cid:paraId="2C812E68" w16cid:durableId="226E21C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A6B" w:rsidRDefault="009D5A6B" w:rsidP="00401263">
      <w:pPr>
        <w:spacing w:after="0" w:line="240" w:lineRule="auto"/>
      </w:pPr>
      <w:r>
        <w:separator/>
      </w:r>
    </w:p>
  </w:endnote>
  <w:endnote w:type="continuationSeparator" w:id="0">
    <w:p w:rsidR="009D5A6B" w:rsidRDefault="009D5A6B" w:rsidP="00401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kurat Pro">
    <w:altName w:val="Akkurat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6B" w:rsidRDefault="009D5A6B">
    <w:pPr>
      <w:pStyle w:val="Piedepgina"/>
    </w:pPr>
    <w:r>
      <w:rPr>
        <w:noProof/>
        <w:lang w:eastAsia="es-ES"/>
      </w:rPr>
      <w:drawing>
        <wp:anchor distT="0" distB="0" distL="114300" distR="114300" simplePos="0" relativeHeight="251661312" behindDoc="0" locked="0" layoutInCell="1" allowOverlap="1">
          <wp:simplePos x="0" y="0"/>
          <wp:positionH relativeFrom="margin">
            <wp:posOffset>1759585</wp:posOffset>
          </wp:positionH>
          <wp:positionV relativeFrom="margin">
            <wp:posOffset>8053070</wp:posOffset>
          </wp:positionV>
          <wp:extent cx="1971675" cy="453390"/>
          <wp:effectExtent l="19050" t="0" r="9525" b="0"/>
          <wp:wrapSquare wrapText="bothSides"/>
          <wp:docPr id="7" name="Imagen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652"/>
                  <a:stretch>
                    <a:fillRect/>
                  </a:stretch>
                </pic:blipFill>
                <pic:spPr bwMode="auto">
                  <a:xfrm>
                    <a:off x="0" y="0"/>
                    <a:ext cx="1971675" cy="453390"/>
                  </a:xfrm>
                  <a:prstGeom prst="rect">
                    <a:avLst/>
                  </a:prstGeom>
                  <a:noFill/>
                </pic:spPr>
              </pic:pic>
            </a:graphicData>
          </a:graphic>
        </wp:anchor>
      </w:drawing>
    </w:r>
    <w:r w:rsidRPr="009D5A6B">
      <w:rPr>
        <w:noProof/>
        <w:lang w:eastAsia="es-ES"/>
      </w:rPr>
      <w:drawing>
        <wp:inline distT="0" distB="0" distL="0" distR="0">
          <wp:extent cx="1311577" cy="720000"/>
          <wp:effectExtent l="19050" t="0" r="287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1577" cy="720000"/>
                  </a:xfrm>
                  <a:prstGeom prst="rect">
                    <a:avLst/>
                  </a:prstGeom>
                  <a:noFill/>
                  <a:ln>
                    <a:noFill/>
                  </a:ln>
                </pic:spPr>
              </pic:pic>
            </a:graphicData>
          </a:graphic>
        </wp:inline>
      </w:drawing>
    </w:r>
    <w:r>
      <w:ptab w:relativeTo="margin" w:alignment="center" w:leader="none"/>
    </w:r>
    <w:r>
      <w:ptab w:relativeTo="margin" w:alignment="right" w:leader="none"/>
    </w:r>
    <w:r w:rsidRPr="009D5A6B">
      <w:rPr>
        <w:noProof/>
        <w:lang w:eastAsia="es-ES"/>
      </w:rPr>
      <w:drawing>
        <wp:inline distT="0" distB="0" distL="0" distR="0">
          <wp:extent cx="1327666" cy="611618"/>
          <wp:effectExtent l="19050" t="0" r="5834" b="0"/>
          <wp:docPr id="8" name="Immagine 13" descr="/Users/Maria/Documents/Archivio/alleanza clima/Progetti_EU/A_in corso/Support_Interreg/Library/SUPPORT_logo template/logo SU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ia/Documents/Archivio/alleanza clima/Progetti_EU/A_in corso/Support_Interreg/Library/SUPPORT_logo template/logo SUPPORT.jpg"/>
                  <pic:cNvPicPr>
                    <a:picLocks noChangeAspect="1" noChangeArrowheads="1"/>
                  </pic:cNvPicPr>
                </pic:nvPicPr>
                <pic:blipFill rotWithShape="1">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545" t="7343" r="13414" b="7483"/>
                  <a:stretch/>
                </pic:blipFill>
                <pic:spPr bwMode="auto">
                  <a:xfrm>
                    <a:off x="0" y="0"/>
                    <a:ext cx="1327666" cy="611618"/>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 uri="{53640926-AAD7-44d8-BBD7-CCE9431645EC}">
                      <a14:shadowObscured xmlns:wpc="http://schemas.microsoft.com/office/word/2010/wordprocessingCanvas" xmlns:mo="http://schemas.microsoft.com/office/mac/office/2008/main" xmlns:mc="http://schemas.openxmlformats.org/markup-compatibility/2006" xmlns:mv="urn:schemas-microsoft-com:mac:vml"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A6B" w:rsidRDefault="009D5A6B" w:rsidP="00401263">
      <w:pPr>
        <w:spacing w:after="0" w:line="240" w:lineRule="auto"/>
      </w:pPr>
      <w:r>
        <w:separator/>
      </w:r>
    </w:p>
  </w:footnote>
  <w:footnote w:type="continuationSeparator" w:id="0">
    <w:p w:rsidR="009D5A6B" w:rsidRDefault="009D5A6B" w:rsidP="004012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35" w:type="dxa"/>
      <w:tblLook w:val="04A0"/>
    </w:tblPr>
    <w:tblGrid>
      <w:gridCol w:w="8789"/>
      <w:gridCol w:w="746"/>
    </w:tblGrid>
    <w:tr w:rsidR="009D5A6B" w:rsidTr="009D5A6B">
      <w:trPr>
        <w:trHeight w:val="561"/>
      </w:trPr>
      <w:tc>
        <w:tcPr>
          <w:tcW w:w="8789" w:type="dxa"/>
          <w:tcMar>
            <w:left w:w="0" w:type="dxa"/>
            <w:right w:w="0" w:type="dxa"/>
          </w:tcMar>
          <w:vAlign w:val="center"/>
        </w:tcPr>
        <w:p w:rsidR="009D5A6B" w:rsidRPr="00F07284" w:rsidRDefault="009D5A6B" w:rsidP="009D5A6B">
          <w:pPr>
            <w:pStyle w:val="Encabezado"/>
            <w:jc w:val="center"/>
            <w:rPr>
              <w:noProof/>
              <w:sz w:val="16"/>
              <w:lang w:eastAsia="es-ES"/>
            </w:rPr>
          </w:pPr>
          <w:r w:rsidRPr="009D5A6B">
            <w:rPr>
              <w:noProof/>
              <w:sz w:val="16"/>
              <w:lang w:eastAsia="es-ES"/>
            </w:rPr>
            <w:drawing>
              <wp:inline distT="0" distB="0" distL="0" distR="0">
                <wp:extent cx="1780026" cy="971550"/>
                <wp:effectExtent l="1905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82538" cy="972921"/>
                        </a:xfrm>
                        <a:prstGeom prst="rect">
                          <a:avLst/>
                        </a:prstGeom>
                        <a:noFill/>
                        <a:ln w="9525">
                          <a:noFill/>
                          <a:miter lim="800000"/>
                          <a:headEnd/>
                          <a:tailEnd/>
                        </a:ln>
                      </pic:spPr>
                    </pic:pic>
                  </a:graphicData>
                </a:graphic>
              </wp:inline>
            </w:drawing>
          </w:r>
        </w:p>
      </w:tc>
      <w:tc>
        <w:tcPr>
          <w:tcW w:w="746" w:type="dxa"/>
          <w:tcMar>
            <w:left w:w="0" w:type="dxa"/>
            <w:right w:w="0" w:type="dxa"/>
          </w:tcMar>
        </w:tcPr>
        <w:p w:rsidR="009D5A6B" w:rsidRDefault="009D5A6B" w:rsidP="00401263">
          <w:pPr>
            <w:pStyle w:val="Encabezado"/>
            <w:jc w:val="right"/>
          </w:pPr>
        </w:p>
      </w:tc>
    </w:tr>
  </w:tbl>
  <w:p w:rsidR="009D5A6B" w:rsidRDefault="009D5A6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21F2"/>
    <w:multiLevelType w:val="hybridMultilevel"/>
    <w:tmpl w:val="35FC79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F673AA"/>
    <w:multiLevelType w:val="hybridMultilevel"/>
    <w:tmpl w:val="174ABBE4"/>
    <w:lvl w:ilvl="0" w:tplc="C79E96B2">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2A8736D"/>
    <w:multiLevelType w:val="hybridMultilevel"/>
    <w:tmpl w:val="EE2C9D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302634E"/>
    <w:multiLevelType w:val="hybridMultilevel"/>
    <w:tmpl w:val="558EBEEE"/>
    <w:lvl w:ilvl="0" w:tplc="C79E96B2">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58E0CB3"/>
    <w:multiLevelType w:val="hybridMultilevel"/>
    <w:tmpl w:val="406CBD0A"/>
    <w:lvl w:ilvl="0" w:tplc="BF3009DA">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0C58"/>
    <w:multiLevelType w:val="hybridMultilevel"/>
    <w:tmpl w:val="80D6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BB68DD"/>
    <w:multiLevelType w:val="hybridMultilevel"/>
    <w:tmpl w:val="6F28CFBC"/>
    <w:lvl w:ilvl="0" w:tplc="EBD284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D962824"/>
    <w:multiLevelType w:val="hybridMultilevel"/>
    <w:tmpl w:val="3FB8D430"/>
    <w:lvl w:ilvl="0" w:tplc="C79E96B2">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353662E"/>
    <w:multiLevelType w:val="hybridMultilevel"/>
    <w:tmpl w:val="87148A1E"/>
    <w:lvl w:ilvl="0" w:tplc="C79E96B2">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9BE15C0"/>
    <w:multiLevelType w:val="hybridMultilevel"/>
    <w:tmpl w:val="19BA6A9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D9F3C71"/>
    <w:multiLevelType w:val="hybridMultilevel"/>
    <w:tmpl w:val="08DC5094"/>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4463435A"/>
    <w:multiLevelType w:val="hybridMultilevel"/>
    <w:tmpl w:val="3A2C326C"/>
    <w:lvl w:ilvl="0" w:tplc="C79E96B2">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48D2733E"/>
    <w:multiLevelType w:val="hybridMultilevel"/>
    <w:tmpl w:val="45567D7E"/>
    <w:lvl w:ilvl="0" w:tplc="D0A86A08">
      <w:start w:val="1"/>
      <w:numFmt w:val="upperLetter"/>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CB87842"/>
    <w:multiLevelType w:val="hybridMultilevel"/>
    <w:tmpl w:val="9B582D32"/>
    <w:lvl w:ilvl="0" w:tplc="C79E96B2">
      <w:numFmt w:val="bullet"/>
      <w:lvlText w:val="-"/>
      <w:lvlJc w:val="left"/>
      <w:pPr>
        <w:ind w:left="775" w:hanging="360"/>
      </w:pPr>
      <w:rPr>
        <w:rFonts w:ascii="Arial" w:eastAsia="Arial" w:hAnsi="Arial" w:cs="Arial" w:hint="default"/>
      </w:rPr>
    </w:lvl>
    <w:lvl w:ilvl="1" w:tplc="040A0003" w:tentative="1">
      <w:start w:val="1"/>
      <w:numFmt w:val="bullet"/>
      <w:lvlText w:val="o"/>
      <w:lvlJc w:val="left"/>
      <w:pPr>
        <w:ind w:left="1495" w:hanging="360"/>
      </w:pPr>
      <w:rPr>
        <w:rFonts w:ascii="Courier New" w:hAnsi="Courier New" w:cs="Courier New" w:hint="default"/>
      </w:rPr>
    </w:lvl>
    <w:lvl w:ilvl="2" w:tplc="040A0005" w:tentative="1">
      <w:start w:val="1"/>
      <w:numFmt w:val="bullet"/>
      <w:lvlText w:val=""/>
      <w:lvlJc w:val="left"/>
      <w:pPr>
        <w:ind w:left="2215" w:hanging="360"/>
      </w:pPr>
      <w:rPr>
        <w:rFonts w:ascii="Wingdings" w:hAnsi="Wingdings" w:hint="default"/>
      </w:rPr>
    </w:lvl>
    <w:lvl w:ilvl="3" w:tplc="040A0001" w:tentative="1">
      <w:start w:val="1"/>
      <w:numFmt w:val="bullet"/>
      <w:lvlText w:val=""/>
      <w:lvlJc w:val="left"/>
      <w:pPr>
        <w:ind w:left="2935" w:hanging="360"/>
      </w:pPr>
      <w:rPr>
        <w:rFonts w:ascii="Symbol" w:hAnsi="Symbol" w:hint="default"/>
      </w:rPr>
    </w:lvl>
    <w:lvl w:ilvl="4" w:tplc="040A0003" w:tentative="1">
      <w:start w:val="1"/>
      <w:numFmt w:val="bullet"/>
      <w:lvlText w:val="o"/>
      <w:lvlJc w:val="left"/>
      <w:pPr>
        <w:ind w:left="3655" w:hanging="360"/>
      </w:pPr>
      <w:rPr>
        <w:rFonts w:ascii="Courier New" w:hAnsi="Courier New" w:cs="Courier New" w:hint="default"/>
      </w:rPr>
    </w:lvl>
    <w:lvl w:ilvl="5" w:tplc="040A0005" w:tentative="1">
      <w:start w:val="1"/>
      <w:numFmt w:val="bullet"/>
      <w:lvlText w:val=""/>
      <w:lvlJc w:val="left"/>
      <w:pPr>
        <w:ind w:left="4375" w:hanging="360"/>
      </w:pPr>
      <w:rPr>
        <w:rFonts w:ascii="Wingdings" w:hAnsi="Wingdings" w:hint="default"/>
      </w:rPr>
    </w:lvl>
    <w:lvl w:ilvl="6" w:tplc="040A0001" w:tentative="1">
      <w:start w:val="1"/>
      <w:numFmt w:val="bullet"/>
      <w:lvlText w:val=""/>
      <w:lvlJc w:val="left"/>
      <w:pPr>
        <w:ind w:left="5095" w:hanging="360"/>
      </w:pPr>
      <w:rPr>
        <w:rFonts w:ascii="Symbol" w:hAnsi="Symbol" w:hint="default"/>
      </w:rPr>
    </w:lvl>
    <w:lvl w:ilvl="7" w:tplc="040A0003" w:tentative="1">
      <w:start w:val="1"/>
      <w:numFmt w:val="bullet"/>
      <w:lvlText w:val="o"/>
      <w:lvlJc w:val="left"/>
      <w:pPr>
        <w:ind w:left="5815" w:hanging="360"/>
      </w:pPr>
      <w:rPr>
        <w:rFonts w:ascii="Courier New" w:hAnsi="Courier New" w:cs="Courier New" w:hint="default"/>
      </w:rPr>
    </w:lvl>
    <w:lvl w:ilvl="8" w:tplc="040A0005" w:tentative="1">
      <w:start w:val="1"/>
      <w:numFmt w:val="bullet"/>
      <w:lvlText w:val=""/>
      <w:lvlJc w:val="left"/>
      <w:pPr>
        <w:ind w:left="6535" w:hanging="360"/>
      </w:pPr>
      <w:rPr>
        <w:rFonts w:ascii="Wingdings" w:hAnsi="Wingdings" w:hint="default"/>
      </w:rPr>
    </w:lvl>
  </w:abstractNum>
  <w:abstractNum w:abstractNumId="14">
    <w:nsid w:val="58E170A5"/>
    <w:multiLevelType w:val="hybridMultilevel"/>
    <w:tmpl w:val="97564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3E7B67"/>
    <w:multiLevelType w:val="hybridMultilevel"/>
    <w:tmpl w:val="F97EFEA6"/>
    <w:lvl w:ilvl="0" w:tplc="E8EA1DC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F13B0B"/>
    <w:multiLevelType w:val="hybridMultilevel"/>
    <w:tmpl w:val="8CCA9866"/>
    <w:lvl w:ilvl="0" w:tplc="0809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609E5DF4"/>
    <w:multiLevelType w:val="hybridMultilevel"/>
    <w:tmpl w:val="4B5C657A"/>
    <w:lvl w:ilvl="0" w:tplc="88B0409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1386711"/>
    <w:multiLevelType w:val="hybridMultilevel"/>
    <w:tmpl w:val="8EAE15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66916EB"/>
    <w:multiLevelType w:val="hybridMultilevel"/>
    <w:tmpl w:val="287A2B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8530FC4"/>
    <w:multiLevelType w:val="hybridMultilevel"/>
    <w:tmpl w:val="FB2C4D60"/>
    <w:lvl w:ilvl="0" w:tplc="C79E96B2">
      <w:numFmt w:val="bullet"/>
      <w:lvlText w:val="-"/>
      <w:lvlJc w:val="left"/>
      <w:pPr>
        <w:ind w:left="360" w:hanging="360"/>
      </w:pPr>
      <w:rPr>
        <w:rFonts w:ascii="Arial" w:eastAsia="Arial" w:hAnsi="Arial"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1">
    <w:nsid w:val="68D33A66"/>
    <w:multiLevelType w:val="hybridMultilevel"/>
    <w:tmpl w:val="19669D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70070F21"/>
    <w:multiLevelType w:val="hybridMultilevel"/>
    <w:tmpl w:val="3A5097D6"/>
    <w:lvl w:ilvl="0" w:tplc="C79E96B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1190AA5"/>
    <w:multiLevelType w:val="hybridMultilevel"/>
    <w:tmpl w:val="E1FE8788"/>
    <w:lvl w:ilvl="0" w:tplc="C6D091DA">
      <w:start w:val="1"/>
      <w:numFmt w:val="bullet"/>
      <w:lvlText w:val="-"/>
      <w:lvlJc w:val="left"/>
      <w:pPr>
        <w:ind w:left="1080" w:hanging="360"/>
      </w:pPr>
      <w:rPr>
        <w:rFonts w:ascii="Calibri" w:eastAsiaTheme="minorHAns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78680820"/>
    <w:multiLevelType w:val="hybridMultilevel"/>
    <w:tmpl w:val="D5386910"/>
    <w:lvl w:ilvl="0" w:tplc="C79E96B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9AA3D08"/>
    <w:multiLevelType w:val="multilevel"/>
    <w:tmpl w:val="36B2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3E1BDA"/>
    <w:multiLevelType w:val="hybridMultilevel"/>
    <w:tmpl w:val="56FA127C"/>
    <w:lvl w:ilvl="0" w:tplc="95C0713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AA310F"/>
    <w:multiLevelType w:val="hybridMultilevel"/>
    <w:tmpl w:val="6B46E8B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2"/>
  </w:num>
  <w:num w:numId="3">
    <w:abstractNumId w:val="25"/>
  </w:num>
  <w:num w:numId="4">
    <w:abstractNumId w:val="0"/>
  </w:num>
  <w:num w:numId="5">
    <w:abstractNumId w:val="6"/>
  </w:num>
  <w:num w:numId="6">
    <w:abstractNumId w:val="17"/>
  </w:num>
  <w:num w:numId="7">
    <w:abstractNumId w:val="27"/>
  </w:num>
  <w:num w:numId="8">
    <w:abstractNumId w:val="9"/>
  </w:num>
  <w:num w:numId="9">
    <w:abstractNumId w:val="19"/>
  </w:num>
  <w:num w:numId="10">
    <w:abstractNumId w:val="23"/>
  </w:num>
  <w:num w:numId="11">
    <w:abstractNumId w:val="24"/>
  </w:num>
  <w:num w:numId="12">
    <w:abstractNumId w:val="10"/>
  </w:num>
  <w:num w:numId="13">
    <w:abstractNumId w:val="18"/>
  </w:num>
  <w:num w:numId="14">
    <w:abstractNumId w:val="22"/>
  </w:num>
  <w:num w:numId="15">
    <w:abstractNumId w:val="2"/>
  </w:num>
  <w:num w:numId="16">
    <w:abstractNumId w:val="5"/>
  </w:num>
  <w:num w:numId="17">
    <w:abstractNumId w:val="14"/>
  </w:num>
  <w:num w:numId="18">
    <w:abstractNumId w:val="4"/>
  </w:num>
  <w:num w:numId="19">
    <w:abstractNumId w:val="16"/>
  </w:num>
  <w:num w:numId="20">
    <w:abstractNumId w:val="15"/>
  </w:num>
  <w:num w:numId="21">
    <w:abstractNumId w:val="21"/>
  </w:num>
  <w:num w:numId="22">
    <w:abstractNumId w:val="8"/>
  </w:num>
  <w:num w:numId="23">
    <w:abstractNumId w:val="11"/>
  </w:num>
  <w:num w:numId="24">
    <w:abstractNumId w:val="13"/>
  </w:num>
  <w:num w:numId="25">
    <w:abstractNumId w:val="7"/>
  </w:num>
  <w:num w:numId="26">
    <w:abstractNumId w:val="20"/>
  </w:num>
  <w:num w:numId="27">
    <w:abstractNumId w:val="3"/>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ED3DD3"/>
    <w:rsid w:val="0000290E"/>
    <w:rsid w:val="00003E58"/>
    <w:rsid w:val="00004BDA"/>
    <w:rsid w:val="000D6F03"/>
    <w:rsid w:val="001226E7"/>
    <w:rsid w:val="00122F8A"/>
    <w:rsid w:val="00182F30"/>
    <w:rsid w:val="001A3F77"/>
    <w:rsid w:val="001B350D"/>
    <w:rsid w:val="001C7DB9"/>
    <w:rsid w:val="001D79A4"/>
    <w:rsid w:val="002235F8"/>
    <w:rsid w:val="002262E7"/>
    <w:rsid w:val="002265D1"/>
    <w:rsid w:val="00234DE2"/>
    <w:rsid w:val="00242C51"/>
    <w:rsid w:val="002920F9"/>
    <w:rsid w:val="002A4FE4"/>
    <w:rsid w:val="002C5E3C"/>
    <w:rsid w:val="00306302"/>
    <w:rsid w:val="003116BA"/>
    <w:rsid w:val="00324515"/>
    <w:rsid w:val="0033630B"/>
    <w:rsid w:val="00355442"/>
    <w:rsid w:val="00357BEA"/>
    <w:rsid w:val="003B1B1F"/>
    <w:rsid w:val="003C26D9"/>
    <w:rsid w:val="003F0CF7"/>
    <w:rsid w:val="003F7338"/>
    <w:rsid w:val="00401263"/>
    <w:rsid w:val="0043076A"/>
    <w:rsid w:val="004D5150"/>
    <w:rsid w:val="004F631E"/>
    <w:rsid w:val="004F79A1"/>
    <w:rsid w:val="00516687"/>
    <w:rsid w:val="00516B9A"/>
    <w:rsid w:val="00547179"/>
    <w:rsid w:val="0055045D"/>
    <w:rsid w:val="00564B15"/>
    <w:rsid w:val="00566507"/>
    <w:rsid w:val="005B1FFE"/>
    <w:rsid w:val="005C64F8"/>
    <w:rsid w:val="005D4906"/>
    <w:rsid w:val="006061AA"/>
    <w:rsid w:val="00622A28"/>
    <w:rsid w:val="00650AFE"/>
    <w:rsid w:val="006A3174"/>
    <w:rsid w:val="006B1C47"/>
    <w:rsid w:val="00742555"/>
    <w:rsid w:val="00766668"/>
    <w:rsid w:val="00776A24"/>
    <w:rsid w:val="00790729"/>
    <w:rsid w:val="00796A30"/>
    <w:rsid w:val="007E553C"/>
    <w:rsid w:val="008077A7"/>
    <w:rsid w:val="00844D37"/>
    <w:rsid w:val="00865E7A"/>
    <w:rsid w:val="008809F1"/>
    <w:rsid w:val="00880F0C"/>
    <w:rsid w:val="008B04E2"/>
    <w:rsid w:val="008D257A"/>
    <w:rsid w:val="008D5836"/>
    <w:rsid w:val="008F036F"/>
    <w:rsid w:val="0090606E"/>
    <w:rsid w:val="00920112"/>
    <w:rsid w:val="00925D22"/>
    <w:rsid w:val="00927E9D"/>
    <w:rsid w:val="00931FFE"/>
    <w:rsid w:val="009772C5"/>
    <w:rsid w:val="00992DFE"/>
    <w:rsid w:val="009C1536"/>
    <w:rsid w:val="009D5A6B"/>
    <w:rsid w:val="00AB7C21"/>
    <w:rsid w:val="00AE76C9"/>
    <w:rsid w:val="00AF7906"/>
    <w:rsid w:val="00B03C9A"/>
    <w:rsid w:val="00B23D27"/>
    <w:rsid w:val="00B31FE3"/>
    <w:rsid w:val="00B425C3"/>
    <w:rsid w:val="00B544F2"/>
    <w:rsid w:val="00B870E1"/>
    <w:rsid w:val="00B90428"/>
    <w:rsid w:val="00BC51DF"/>
    <w:rsid w:val="00BD5D92"/>
    <w:rsid w:val="00C20CC9"/>
    <w:rsid w:val="00C46765"/>
    <w:rsid w:val="00CD7A7D"/>
    <w:rsid w:val="00CE428D"/>
    <w:rsid w:val="00D039A6"/>
    <w:rsid w:val="00D26BAC"/>
    <w:rsid w:val="00D63E08"/>
    <w:rsid w:val="00E3239B"/>
    <w:rsid w:val="00E4645F"/>
    <w:rsid w:val="00E600B5"/>
    <w:rsid w:val="00E8622B"/>
    <w:rsid w:val="00ED3DD3"/>
    <w:rsid w:val="00F22542"/>
    <w:rsid w:val="00F4636B"/>
    <w:rsid w:val="00F57A89"/>
    <w:rsid w:val="00F72330"/>
    <w:rsid w:val="00FA6C52"/>
    <w:rsid w:val="00FB1DB0"/>
    <w:rsid w:val="00FB7768"/>
    <w:rsid w:val="00FD5E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A6"/>
    <w:pPr>
      <w:jc w:val="both"/>
    </w:pPr>
    <w:rPr>
      <w:rFonts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3DD3"/>
    <w:pPr>
      <w:ind w:left="720"/>
      <w:contextualSpacing/>
    </w:pPr>
  </w:style>
  <w:style w:type="paragraph" w:styleId="Encabezado">
    <w:name w:val="header"/>
    <w:basedOn w:val="Normal"/>
    <w:link w:val="EncabezadoCar"/>
    <w:uiPriority w:val="99"/>
    <w:unhideWhenUsed/>
    <w:rsid w:val="004012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263"/>
    <w:rPr>
      <w:rFonts w:cs="Arial"/>
      <w:sz w:val="20"/>
    </w:rPr>
  </w:style>
  <w:style w:type="paragraph" w:styleId="Piedepgina">
    <w:name w:val="footer"/>
    <w:basedOn w:val="Normal"/>
    <w:link w:val="PiedepginaCar"/>
    <w:uiPriority w:val="99"/>
    <w:unhideWhenUsed/>
    <w:rsid w:val="004012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263"/>
    <w:rPr>
      <w:rFonts w:cs="Arial"/>
      <w:sz w:val="20"/>
    </w:rPr>
  </w:style>
  <w:style w:type="character" w:styleId="Hipervnculo">
    <w:name w:val="Hyperlink"/>
    <w:basedOn w:val="Fuentedeprrafopredeter"/>
    <w:uiPriority w:val="99"/>
    <w:unhideWhenUsed/>
    <w:rsid w:val="00766668"/>
    <w:rPr>
      <w:color w:val="0563C1" w:themeColor="hyperlink"/>
      <w:u w:val="single"/>
    </w:rPr>
  </w:style>
  <w:style w:type="character" w:customStyle="1" w:styleId="Mencinsinresolver1">
    <w:name w:val="Mención sin resolver1"/>
    <w:basedOn w:val="Fuentedeprrafopredeter"/>
    <w:uiPriority w:val="99"/>
    <w:rsid w:val="00766668"/>
    <w:rPr>
      <w:color w:val="605E5C"/>
      <w:shd w:val="clear" w:color="auto" w:fill="E1DFDD"/>
    </w:rPr>
  </w:style>
  <w:style w:type="character" w:styleId="Refdecomentario">
    <w:name w:val="annotation reference"/>
    <w:basedOn w:val="Fuentedeprrafopredeter"/>
    <w:uiPriority w:val="99"/>
    <w:semiHidden/>
    <w:unhideWhenUsed/>
    <w:rsid w:val="00B870E1"/>
    <w:rPr>
      <w:sz w:val="16"/>
      <w:szCs w:val="16"/>
    </w:rPr>
  </w:style>
  <w:style w:type="paragraph" w:styleId="Textocomentario">
    <w:name w:val="annotation text"/>
    <w:basedOn w:val="Normal"/>
    <w:link w:val="TextocomentarioCar"/>
    <w:uiPriority w:val="99"/>
    <w:semiHidden/>
    <w:unhideWhenUsed/>
    <w:rsid w:val="00B870E1"/>
    <w:pPr>
      <w:spacing w:line="240" w:lineRule="auto"/>
    </w:pPr>
    <w:rPr>
      <w:szCs w:val="20"/>
    </w:rPr>
  </w:style>
  <w:style w:type="character" w:customStyle="1" w:styleId="TextocomentarioCar">
    <w:name w:val="Texto comentario Car"/>
    <w:basedOn w:val="Fuentedeprrafopredeter"/>
    <w:link w:val="Textocomentario"/>
    <w:uiPriority w:val="99"/>
    <w:semiHidden/>
    <w:rsid w:val="00B870E1"/>
    <w:rPr>
      <w:rFonts w:cs="Arial"/>
      <w:sz w:val="20"/>
      <w:szCs w:val="20"/>
    </w:rPr>
  </w:style>
  <w:style w:type="paragraph" w:styleId="Asuntodelcomentario">
    <w:name w:val="annotation subject"/>
    <w:basedOn w:val="Textocomentario"/>
    <w:next w:val="Textocomentario"/>
    <w:link w:val="AsuntodelcomentarioCar"/>
    <w:uiPriority w:val="99"/>
    <w:semiHidden/>
    <w:unhideWhenUsed/>
    <w:rsid w:val="00B870E1"/>
    <w:rPr>
      <w:b/>
      <w:bCs/>
    </w:rPr>
  </w:style>
  <w:style w:type="character" w:customStyle="1" w:styleId="AsuntodelcomentarioCar">
    <w:name w:val="Asunto del comentario Car"/>
    <w:basedOn w:val="TextocomentarioCar"/>
    <w:link w:val="Asuntodelcomentario"/>
    <w:uiPriority w:val="99"/>
    <w:semiHidden/>
    <w:rsid w:val="00B870E1"/>
    <w:rPr>
      <w:rFonts w:cs="Arial"/>
      <w:b/>
      <w:bCs/>
      <w:sz w:val="20"/>
      <w:szCs w:val="20"/>
    </w:rPr>
  </w:style>
  <w:style w:type="paragraph" w:styleId="Textodeglobo">
    <w:name w:val="Balloon Text"/>
    <w:basedOn w:val="Normal"/>
    <w:link w:val="TextodegloboCar"/>
    <w:uiPriority w:val="99"/>
    <w:semiHidden/>
    <w:unhideWhenUsed/>
    <w:rsid w:val="00B870E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870E1"/>
    <w:rPr>
      <w:rFonts w:ascii="Times New Roman" w:hAnsi="Times New Roman" w:cs="Times New Roman"/>
      <w:sz w:val="18"/>
      <w:szCs w:val="18"/>
    </w:rPr>
  </w:style>
  <w:style w:type="character" w:customStyle="1" w:styleId="apple-converted-space">
    <w:name w:val="apple-converted-space"/>
    <w:basedOn w:val="Fuentedeprrafopredeter"/>
    <w:rsid w:val="00B23D27"/>
  </w:style>
  <w:style w:type="table" w:styleId="Tablaconcuadrcula">
    <w:name w:val="Table Grid"/>
    <w:basedOn w:val="Tablanormal"/>
    <w:uiPriority w:val="59"/>
    <w:rsid w:val="00B23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uiPriority w:val="1"/>
    <w:qFormat/>
    <w:rsid w:val="00B23D27"/>
    <w:pPr>
      <w:spacing w:after="0" w:line="240" w:lineRule="auto"/>
    </w:pPr>
    <w:rPr>
      <w:rFonts w:ascii="Arial" w:hAnsi="Arial"/>
      <w:szCs w:val="20"/>
      <w:lang w:eastAsia="es-ES"/>
    </w:rPr>
  </w:style>
  <w:style w:type="paragraph" w:styleId="HTMLconformatoprevio">
    <w:name w:val="HTML Preformatted"/>
    <w:basedOn w:val="Normal"/>
    <w:link w:val="HTMLconformatoprevioCar"/>
    <w:uiPriority w:val="99"/>
    <w:unhideWhenUsed/>
    <w:rsid w:val="00B23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Cs w:val="20"/>
      <w:lang w:eastAsia="es-ES"/>
    </w:rPr>
  </w:style>
  <w:style w:type="character" w:customStyle="1" w:styleId="HTMLconformatoprevioCar">
    <w:name w:val="HTML con formato previo Car"/>
    <w:basedOn w:val="Fuentedeprrafopredeter"/>
    <w:link w:val="HTMLconformatoprevio"/>
    <w:uiPriority w:val="99"/>
    <w:rsid w:val="00B23D27"/>
    <w:rPr>
      <w:rFonts w:ascii="Courier New" w:hAnsi="Courier New" w:cs="Courier New"/>
      <w:sz w:val="20"/>
      <w:szCs w:val="20"/>
      <w:lang w:eastAsia="es-ES"/>
    </w:rPr>
  </w:style>
  <w:style w:type="paragraph" w:customStyle="1" w:styleId="Pa11">
    <w:name w:val="Pa11"/>
    <w:basedOn w:val="Normal"/>
    <w:next w:val="Normal"/>
    <w:uiPriority w:val="99"/>
    <w:rsid w:val="009D5A6B"/>
    <w:pPr>
      <w:autoSpaceDE w:val="0"/>
      <w:autoSpaceDN w:val="0"/>
      <w:adjustRightInd w:val="0"/>
      <w:spacing w:after="0" w:line="201" w:lineRule="atLeast"/>
      <w:jc w:val="left"/>
    </w:pPr>
    <w:rPr>
      <w:rFonts w:ascii="Akkurat Pro" w:hAnsi="Akkurat Pro" w:cstheme="minorBidi"/>
      <w:sz w:val="24"/>
      <w:szCs w:val="24"/>
    </w:rPr>
  </w:style>
  <w:style w:type="character" w:customStyle="1" w:styleId="A3">
    <w:name w:val="A3"/>
    <w:uiPriority w:val="99"/>
    <w:rsid w:val="009D5A6B"/>
    <w:rPr>
      <w:rFonts w:cs="Akkurat Pro"/>
      <w:b/>
      <w:bCs/>
      <w:color w:val="000000"/>
    </w:rPr>
  </w:style>
  <w:style w:type="paragraph" w:customStyle="1" w:styleId="Pa12">
    <w:name w:val="Pa12"/>
    <w:basedOn w:val="Normal"/>
    <w:next w:val="Normal"/>
    <w:uiPriority w:val="99"/>
    <w:rsid w:val="009D5A6B"/>
    <w:pPr>
      <w:autoSpaceDE w:val="0"/>
      <w:autoSpaceDN w:val="0"/>
      <w:adjustRightInd w:val="0"/>
      <w:spacing w:after="0" w:line="241" w:lineRule="atLeast"/>
      <w:jc w:val="left"/>
    </w:pPr>
    <w:rPr>
      <w:rFonts w:ascii="Akkurat Pro" w:hAnsi="Akkurat Pro" w:cstheme="minorBidi"/>
      <w:sz w:val="24"/>
      <w:szCs w:val="24"/>
    </w:rPr>
  </w:style>
  <w:style w:type="paragraph" w:customStyle="1" w:styleId="Pa13">
    <w:name w:val="Pa13"/>
    <w:basedOn w:val="Normal"/>
    <w:next w:val="Normal"/>
    <w:uiPriority w:val="99"/>
    <w:rsid w:val="009D5A6B"/>
    <w:pPr>
      <w:autoSpaceDE w:val="0"/>
      <w:autoSpaceDN w:val="0"/>
      <w:adjustRightInd w:val="0"/>
      <w:spacing w:after="0" w:line="201" w:lineRule="atLeast"/>
      <w:jc w:val="left"/>
    </w:pPr>
    <w:rPr>
      <w:rFonts w:ascii="Akkurat Pro" w:hAnsi="Akkurat Pro" w:cstheme="minorBidi"/>
      <w:sz w:val="24"/>
      <w:szCs w:val="24"/>
    </w:rPr>
  </w:style>
</w:styles>
</file>

<file path=word/webSettings.xml><?xml version="1.0" encoding="utf-8"?>
<w:webSettings xmlns:r="http://schemas.openxmlformats.org/officeDocument/2006/relationships" xmlns:w="http://schemas.openxmlformats.org/wordprocessingml/2006/main">
  <w:divs>
    <w:div w:id="112789460">
      <w:bodyDiv w:val="1"/>
      <w:marLeft w:val="0"/>
      <w:marRight w:val="0"/>
      <w:marTop w:val="0"/>
      <w:marBottom w:val="0"/>
      <w:divBdr>
        <w:top w:val="none" w:sz="0" w:space="0" w:color="auto"/>
        <w:left w:val="none" w:sz="0" w:space="0" w:color="auto"/>
        <w:bottom w:val="none" w:sz="0" w:space="0" w:color="auto"/>
        <w:right w:val="none" w:sz="0" w:space="0" w:color="auto"/>
      </w:divBdr>
    </w:div>
    <w:div w:id="1801458434">
      <w:bodyDiv w:val="1"/>
      <w:marLeft w:val="0"/>
      <w:marRight w:val="0"/>
      <w:marTop w:val="0"/>
      <w:marBottom w:val="0"/>
      <w:divBdr>
        <w:top w:val="none" w:sz="0" w:space="0" w:color="auto"/>
        <w:left w:val="none" w:sz="0" w:space="0" w:color="auto"/>
        <w:bottom w:val="none" w:sz="0" w:space="0" w:color="auto"/>
        <w:right w:val="none" w:sz="0" w:space="0" w:color="auto"/>
      </w:divBdr>
    </w:div>
    <w:div w:id="1943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4448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U-Space Andrew</dc:creator>
  <cp:lastModifiedBy>Administrador</cp:lastModifiedBy>
  <cp:revision>2</cp:revision>
  <dcterms:created xsi:type="dcterms:W3CDTF">2021-04-29T13:00:00Z</dcterms:created>
  <dcterms:modified xsi:type="dcterms:W3CDTF">2021-04-29T13:00:00Z</dcterms:modified>
</cp:coreProperties>
</file>